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AC" w:rsidRPr="001C4447" w:rsidRDefault="00940649" w:rsidP="00F022AC">
      <w:pPr>
        <w:jc w:val="both"/>
        <w:rPr>
          <w:b/>
          <w:bCs/>
        </w:rPr>
      </w:pPr>
      <w:r w:rsidRPr="001C4447">
        <w:rPr>
          <w:b/>
        </w:rPr>
        <w:t xml:space="preserve">Информация о результатах контрольного мероприятия </w:t>
      </w:r>
      <w:r w:rsidR="00F022AC" w:rsidRPr="001C4447">
        <w:rPr>
          <w:b/>
        </w:rPr>
        <w:t xml:space="preserve">по вопросу выполнения муниципального задания, использования целевых субсидий, выделенных из местного бюджета на выполнение муниципального задания и иные цели </w:t>
      </w:r>
      <w:r w:rsidR="001C4447" w:rsidRPr="001C4447">
        <w:rPr>
          <w:b/>
        </w:rPr>
        <w:t xml:space="preserve">МБУК </w:t>
      </w:r>
      <w:r w:rsidR="001C4447" w:rsidRPr="001C4447">
        <w:rPr>
          <w:rFonts w:eastAsia="SimSun" w:cs="Aharoni"/>
          <w:b/>
          <w:bCs/>
          <w:lang w:eastAsia="zh-CN"/>
        </w:rPr>
        <w:t>«Историко-краеведческий музей»</w:t>
      </w:r>
      <w:r w:rsidR="00F022AC" w:rsidRPr="001C4447">
        <w:rPr>
          <w:rFonts w:eastAsia="SimSun"/>
          <w:b/>
          <w:bCs/>
          <w:lang w:eastAsia="zh-CN"/>
        </w:rPr>
        <w:t xml:space="preserve"> </w:t>
      </w:r>
      <w:r w:rsidR="001C4447" w:rsidRPr="001C4447">
        <w:rPr>
          <w:rFonts w:eastAsia="SimSun"/>
          <w:b/>
          <w:bCs/>
          <w:lang w:eastAsia="zh-CN"/>
        </w:rPr>
        <w:t xml:space="preserve">за </w:t>
      </w:r>
      <w:r w:rsidR="00F022AC" w:rsidRPr="001C4447">
        <w:rPr>
          <w:rFonts w:eastAsia="SimSun"/>
          <w:b/>
          <w:bCs/>
          <w:lang w:eastAsia="zh-CN"/>
        </w:rPr>
        <w:t>2019 год.</w:t>
      </w:r>
    </w:p>
    <w:p w:rsidR="001C4447" w:rsidRPr="008C1FA3" w:rsidRDefault="001C4447" w:rsidP="001C4447">
      <w:pPr>
        <w:pStyle w:val="Default"/>
        <w:ind w:firstLine="567"/>
        <w:contextualSpacing/>
        <w:mirrorIndents/>
        <w:jc w:val="both"/>
        <w:rPr>
          <w:b/>
          <w:bCs/>
        </w:rPr>
      </w:pPr>
      <w:r w:rsidRPr="008C1FA3">
        <w:rPr>
          <w:b/>
          <w:bCs/>
        </w:rPr>
        <w:t xml:space="preserve">В результате контрольного мероприятия </w:t>
      </w:r>
      <w:r w:rsidRPr="008C1FA3">
        <w:t>«Формирование и финансовое обеспечение муниципального задания, финансово-хозяйственной деятельности и целевого использования субсидии, выделяемой на выполнение муниципального задания и иные цели в МБУК «</w:t>
      </w:r>
      <w:r>
        <w:rPr>
          <w:rFonts w:eastAsia="SimSun" w:cs="Aharoni"/>
          <w:bCs/>
          <w:lang w:eastAsia="zh-CN"/>
        </w:rPr>
        <w:t>Историко-краеведческий музей</w:t>
      </w:r>
      <w:r w:rsidRPr="0063134B">
        <w:rPr>
          <w:rFonts w:eastAsia="SimSun" w:cs="Aharoni"/>
          <w:bCs/>
          <w:lang w:eastAsia="zh-CN"/>
        </w:rPr>
        <w:t>»</w:t>
      </w:r>
      <w:r w:rsidRPr="008C1FA3">
        <w:t xml:space="preserve"> </w:t>
      </w:r>
      <w:r w:rsidRPr="008C1FA3">
        <w:rPr>
          <w:b/>
          <w:bCs/>
        </w:rPr>
        <w:t xml:space="preserve">установлено следующее: </w:t>
      </w:r>
    </w:p>
    <w:p w:rsidR="001C4447" w:rsidRDefault="001C4447" w:rsidP="001C4447">
      <w:pPr>
        <w:ind w:firstLine="567"/>
        <w:contextualSpacing/>
        <w:mirrorIndents/>
        <w:jc w:val="both"/>
      </w:pPr>
      <w:r w:rsidRPr="008C1FA3">
        <w:t xml:space="preserve">1. </w:t>
      </w:r>
      <w:r>
        <w:t>П</w:t>
      </w:r>
      <w:r w:rsidRPr="008C1FA3">
        <w:t>лан финансово-хозяйственной деятельности на 2020 год</w:t>
      </w:r>
      <w:r w:rsidRPr="008C1FA3">
        <w:rPr>
          <w:b/>
        </w:rPr>
        <w:t xml:space="preserve"> не соответствует </w:t>
      </w:r>
      <w:r w:rsidRPr="008C1FA3">
        <w:t>приказу Минфину РФ от 31.08.2018 № 186н</w:t>
      </w:r>
      <w:r w:rsidRPr="008C1FA3">
        <w:rPr>
          <w:b/>
        </w:rPr>
        <w:t xml:space="preserve"> </w:t>
      </w:r>
      <w:r w:rsidRPr="008C1FA3">
        <w:rPr>
          <w:color w:val="000000"/>
        </w:rPr>
        <w:t>«О Требованиях к составлению и утверждению плана финансово-хозяйственной деятельности государственного (муниципального) учреждения»</w:t>
      </w:r>
      <w:r w:rsidRPr="008C1FA3">
        <w:t>.</w:t>
      </w:r>
    </w:p>
    <w:p w:rsidR="001C4447" w:rsidRPr="00332BCC" w:rsidRDefault="001C4447" w:rsidP="001C44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332BCC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>З</w:t>
      </w:r>
      <w:r w:rsidRPr="00332BCC">
        <w:rPr>
          <w:rFonts w:ascii="Times New Roman" w:eastAsiaTheme="minorHAnsi" w:hAnsi="Times New Roman"/>
          <w:sz w:val="24"/>
          <w:szCs w:val="24"/>
        </w:rPr>
        <w:t>аказчиком в плане-графике на 2019 год (версия 0) совокупный годовой объем закупок в размере 543,0 тыс. рублей не соответствует утвержденному финансовому обеспечению Заказчика на 31.12.2019 года и меньше лимита утвержденных бюджетных обязательств на 1142,0</w:t>
      </w:r>
      <w:r w:rsidRPr="00332BC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332BCC">
        <w:rPr>
          <w:rFonts w:ascii="Times New Roman" w:eastAsiaTheme="minorHAnsi" w:hAnsi="Times New Roman"/>
          <w:sz w:val="24"/>
          <w:szCs w:val="24"/>
        </w:rPr>
        <w:t>тыс. рублей,</w:t>
      </w:r>
      <w:r w:rsidRPr="00332BC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332BCC">
        <w:rPr>
          <w:rFonts w:ascii="Times New Roman" w:eastAsiaTheme="minorHAnsi" w:hAnsi="Times New Roman"/>
          <w:sz w:val="24"/>
          <w:szCs w:val="24"/>
        </w:rPr>
        <w:t xml:space="preserve">что говорит о недостоверности информации о планируемых закупках в 2019 году, указанных в плане-графике. </w:t>
      </w:r>
      <w:r w:rsidRPr="00332BCC">
        <w:rPr>
          <w:rFonts w:ascii="Times New Roman" w:hAnsi="Times New Roman"/>
          <w:sz w:val="24"/>
          <w:szCs w:val="24"/>
        </w:rPr>
        <w:t>Закупки не включены в план закупок и план-график на 2019 год, т.к. Учреждение не формировало эти документы.</w:t>
      </w:r>
    </w:p>
    <w:p w:rsidR="001C4447" w:rsidRPr="00B807BB" w:rsidRDefault="001C4447" w:rsidP="001C4447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</w:rPr>
      </w:pPr>
      <w:proofErr w:type="gramStart"/>
      <w:r w:rsidRPr="00B807BB">
        <w:rPr>
          <w:rFonts w:eastAsiaTheme="minorHAnsi"/>
        </w:rPr>
        <w:t>В нарушение части 16 статьи 3 Федерального закона № 44-ФЗ,  п.п. «б» п. 14 части 5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закупок-товаров, работ, услуг», утвержденным постановлением Правительства РФ от 05.06.2015 г. №554 совокупный годовой объем закупок, предусмотренный планом</w:t>
      </w:r>
      <w:proofErr w:type="gramEnd"/>
      <w:r w:rsidRPr="00B807BB">
        <w:rPr>
          <w:rFonts w:eastAsiaTheme="minorHAnsi"/>
        </w:rPr>
        <w:t xml:space="preserve"> - графика на 2019 год, не соответствует общему объему финансового обеспечения Заказчика для осуществления закупок.</w:t>
      </w:r>
    </w:p>
    <w:p w:rsidR="001C4447" w:rsidRPr="00B807BB" w:rsidRDefault="001C4447" w:rsidP="001C4447">
      <w:pPr>
        <w:pStyle w:val="1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807BB">
        <w:rPr>
          <w:rFonts w:ascii="Times New Roman" w:hAnsi="Times New Roman"/>
          <w:sz w:val="24"/>
          <w:szCs w:val="24"/>
        </w:rPr>
        <w:t xml:space="preserve">В нарушение </w:t>
      </w:r>
      <w:proofErr w:type="gramStart"/>
      <w:r w:rsidRPr="00B807BB">
        <w:rPr>
          <w:rFonts w:ascii="Times New Roman" w:hAnsi="Times New Roman"/>
          <w:sz w:val="24"/>
          <w:szCs w:val="24"/>
        </w:rPr>
        <w:t>ч</w:t>
      </w:r>
      <w:proofErr w:type="gramEnd"/>
      <w:r w:rsidRPr="00B807BB">
        <w:rPr>
          <w:rFonts w:ascii="Times New Roman" w:hAnsi="Times New Roman"/>
          <w:sz w:val="24"/>
          <w:szCs w:val="24"/>
        </w:rPr>
        <w:t>.1 ст.18 Федерального закона №44-ФЗ, п.6 Постановления Правительства РФ от 05.06.2015 №554 заказчик не обосновал годовой объем закупок по п.5 ч.1 ст.93 Федерального закона № 44-ФЗ.</w:t>
      </w:r>
    </w:p>
    <w:p w:rsidR="001C4447" w:rsidRPr="00B807BB" w:rsidRDefault="001C4447" w:rsidP="001C4447">
      <w:pPr>
        <w:ind w:firstLine="675"/>
        <w:contextualSpacing/>
        <w:mirrorIndents/>
        <w:jc w:val="both"/>
      </w:pPr>
      <w:r w:rsidRPr="00B807BB">
        <w:t xml:space="preserve">2. В нарушение </w:t>
      </w:r>
      <w:proofErr w:type="gramStart"/>
      <w:r w:rsidRPr="00B807BB">
        <w:t>ч</w:t>
      </w:r>
      <w:proofErr w:type="gramEnd"/>
      <w:r w:rsidRPr="00B807BB">
        <w:t>.15 ст.21 Федерального закона №44-ФЗ Заказчик  не разместил план-график закупок товаров, работ, услуг на 2020 год и плановый период 2021 и 2022 годов в ЕИС.</w:t>
      </w:r>
    </w:p>
    <w:p w:rsidR="001C4447" w:rsidRPr="00B807BB" w:rsidRDefault="001C4447" w:rsidP="001C4447">
      <w:pPr>
        <w:pStyle w:val="1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807BB">
        <w:rPr>
          <w:rFonts w:ascii="Times New Roman" w:hAnsi="Times New Roman"/>
          <w:sz w:val="24"/>
          <w:szCs w:val="24"/>
        </w:rPr>
        <w:t xml:space="preserve">3. В нарушение </w:t>
      </w:r>
      <w:proofErr w:type="gramStart"/>
      <w:r w:rsidRPr="00B807BB">
        <w:rPr>
          <w:rFonts w:ascii="Times New Roman" w:hAnsi="Times New Roman"/>
          <w:sz w:val="24"/>
          <w:szCs w:val="24"/>
        </w:rPr>
        <w:t>ч</w:t>
      </w:r>
      <w:proofErr w:type="gramEnd"/>
      <w:r w:rsidRPr="00B807BB">
        <w:rPr>
          <w:rFonts w:ascii="Times New Roman" w:hAnsi="Times New Roman"/>
          <w:sz w:val="24"/>
          <w:szCs w:val="24"/>
        </w:rPr>
        <w:t>.11 ст.21 Федерального закона №44-ФЗ Заказчик осуществил закупки, не предусмотренные планом-графиком.</w:t>
      </w:r>
    </w:p>
    <w:p w:rsidR="001C4447" w:rsidRPr="00B807BB" w:rsidRDefault="001C4447" w:rsidP="001C4447">
      <w:pPr>
        <w:ind w:firstLine="567"/>
        <w:contextualSpacing/>
        <w:mirrorIndents/>
        <w:jc w:val="both"/>
      </w:pPr>
      <w:r>
        <w:t xml:space="preserve">  </w:t>
      </w:r>
      <w:r w:rsidRPr="00B807BB">
        <w:t xml:space="preserve">4. В нарушение </w:t>
      </w:r>
      <w:proofErr w:type="gramStart"/>
      <w:r w:rsidRPr="00B807BB">
        <w:t>ч</w:t>
      </w:r>
      <w:proofErr w:type="gramEnd"/>
      <w:r w:rsidRPr="00B807BB">
        <w:t>. 3 ст. 103 Федерального закона от 05.04.2013г. № 44-ФЗ информацию о заключенных контрактах в реестр контрактов Заказчик не размещал.</w:t>
      </w:r>
    </w:p>
    <w:p w:rsidR="001C4447" w:rsidRPr="00B807BB" w:rsidRDefault="001C4447" w:rsidP="001C4447">
      <w:pPr>
        <w:ind w:firstLine="675"/>
        <w:contextualSpacing/>
        <w:mirrorIndents/>
        <w:jc w:val="both"/>
      </w:pPr>
      <w:r w:rsidRPr="00B807BB">
        <w:t xml:space="preserve">5. В нарушение </w:t>
      </w:r>
      <w:proofErr w:type="gramStart"/>
      <w:r w:rsidRPr="00B807BB">
        <w:t>ч</w:t>
      </w:r>
      <w:proofErr w:type="gramEnd"/>
      <w:r w:rsidRPr="00B807BB">
        <w:t>.9 ст.17 Федерального закона №44-ФЗ, в план – график и изменений не вносились.</w:t>
      </w:r>
    </w:p>
    <w:p w:rsidR="001C4447" w:rsidRPr="00B807BB" w:rsidRDefault="001C4447" w:rsidP="001C4447">
      <w:pPr>
        <w:ind w:firstLine="675"/>
        <w:contextualSpacing/>
        <w:mirrorIndents/>
        <w:jc w:val="both"/>
      </w:pPr>
      <w:r w:rsidRPr="00B807BB">
        <w:t xml:space="preserve">6. В нарушение </w:t>
      </w:r>
      <w:proofErr w:type="gramStart"/>
      <w:r w:rsidRPr="00B807BB">
        <w:t>ч</w:t>
      </w:r>
      <w:proofErr w:type="gramEnd"/>
      <w:r w:rsidRPr="00B807BB">
        <w:t>. 2 ст. 34 Федерального закона № 44-ФЗ в договорах (контрактах), заключенных Учреждением, не прописано, что цена контракта является твердой и определяется на весь срок исполнения контракта</w:t>
      </w:r>
      <w:r>
        <w:t>.</w:t>
      </w:r>
    </w:p>
    <w:p w:rsidR="001C4447" w:rsidRPr="00B807BB" w:rsidRDefault="001C4447" w:rsidP="001C4447">
      <w:pPr>
        <w:ind w:firstLine="675"/>
        <w:contextualSpacing/>
        <w:mirrorIndents/>
        <w:jc w:val="both"/>
      </w:pPr>
      <w:r w:rsidRPr="00B807BB">
        <w:t xml:space="preserve">7. В нарушение </w:t>
      </w:r>
      <w:proofErr w:type="gramStart"/>
      <w:r w:rsidRPr="00B807BB">
        <w:t>ч</w:t>
      </w:r>
      <w:proofErr w:type="gramEnd"/>
      <w:r w:rsidRPr="00B807BB">
        <w:t>. 4 ст. 30 Федерального закона № 44-ФЗ Заказчиком отчет об объеме закупок у субъектов малого предпринимательства, социально ориентированных некоммерческих организаций по состоянию на 01.04.2019 года</w:t>
      </w:r>
      <w:r w:rsidRPr="00B807BB">
        <w:rPr>
          <w:b/>
        </w:rPr>
        <w:t xml:space="preserve"> </w:t>
      </w:r>
      <w:r w:rsidRPr="00B807BB">
        <w:t>не размещен.</w:t>
      </w:r>
    </w:p>
    <w:p w:rsidR="001C4447" w:rsidRDefault="001C4447" w:rsidP="001C4447">
      <w:pPr>
        <w:pStyle w:val="Default"/>
        <w:ind w:firstLine="567"/>
        <w:contextualSpacing/>
        <w:mirrorIndents/>
        <w:jc w:val="both"/>
      </w:pPr>
      <w:r>
        <w:rPr>
          <w:color w:val="auto"/>
        </w:rPr>
        <w:t xml:space="preserve">8. </w:t>
      </w:r>
      <w:r w:rsidRPr="00292526">
        <w:t>Внутренний финансовый контроль, внутренний финансовый аудит в соответствии со статьей 160.2-1 Бюджетного кодекса Российской Федерации в проверяемом периоде Учредителем не проводился.</w:t>
      </w:r>
    </w:p>
    <w:p w:rsidR="001C4447" w:rsidRPr="00E80756" w:rsidRDefault="001C4447" w:rsidP="001C4447">
      <w:pPr>
        <w:ind w:firstLine="567"/>
        <w:contextualSpacing/>
        <w:mirrorIndents/>
        <w:jc w:val="both"/>
      </w:pPr>
      <w:r w:rsidRPr="00E80756">
        <w:t xml:space="preserve">9. В нарушение Правил осуществления ведомственного контроля отсутствует Регламент проведения ведомственного контроля, не определен состав уполномоченных на проведение контрольных мероприятий, не осуществляются мероприятия по ведомственному контролю в отношении подведомственных заказчиков. </w:t>
      </w:r>
    </w:p>
    <w:p w:rsidR="001C4447" w:rsidRPr="0027456A" w:rsidRDefault="001C4447" w:rsidP="001C4447">
      <w:pPr>
        <w:shd w:val="clear" w:color="auto" w:fill="FFFFFF"/>
        <w:ind w:firstLine="567"/>
        <w:contextualSpacing/>
        <w:mirrorIndents/>
        <w:jc w:val="both"/>
      </w:pPr>
      <w:r w:rsidRPr="0027456A">
        <w:t xml:space="preserve">10. В нарушение статьи 100 Закона № 44-ФЗ Управлением культуры не осуществлялся ведомственный контроль над соблюдением законодательства Российской </w:t>
      </w:r>
      <w:r w:rsidRPr="0027456A">
        <w:lastRenderedPageBreak/>
        <w:t xml:space="preserve">Федерации и иных нормативных правовых актов о контрактной системе в сфере закупок в отношении подведомственных им заказчиков. </w:t>
      </w:r>
    </w:p>
    <w:p w:rsidR="001C4447" w:rsidRPr="0027456A" w:rsidRDefault="001C4447" w:rsidP="001C4447">
      <w:pPr>
        <w:pStyle w:val="Default"/>
        <w:ind w:firstLine="567"/>
        <w:jc w:val="both"/>
        <w:rPr>
          <w:iCs/>
        </w:rPr>
      </w:pPr>
      <w:proofErr w:type="gramStart"/>
      <w:r w:rsidRPr="0027456A">
        <w:rPr>
          <w:iCs/>
        </w:rPr>
        <w:t xml:space="preserve">В соответствии с ч.3 ст.7.30 </w:t>
      </w:r>
      <w:proofErr w:type="spellStart"/>
      <w:r w:rsidRPr="0027456A">
        <w:rPr>
          <w:iCs/>
        </w:rPr>
        <w:t>КоАП</w:t>
      </w:r>
      <w:proofErr w:type="spellEnd"/>
      <w:r w:rsidRPr="0027456A">
        <w:rPr>
          <w:iCs/>
        </w:rPr>
        <w:t xml:space="preserve"> РФ, </w:t>
      </w:r>
      <w:proofErr w:type="spellStart"/>
      <w:r w:rsidRPr="0027456A">
        <w:rPr>
          <w:iCs/>
        </w:rPr>
        <w:t>неразмещение</w:t>
      </w:r>
      <w:proofErr w:type="spellEnd"/>
      <w:r w:rsidRPr="0027456A">
        <w:rPr>
          <w:iCs/>
        </w:rPr>
        <w:t xml:space="preserve">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информации и документов, размещение которых предусмотрено в соответствии с законодательством Российской Федерации о контрактной системе в сфере закупок, влечет наложение административного штрафа на должностных лиц в размере пятидесяти тысяч рублей</w:t>
      </w:r>
      <w:proofErr w:type="gramEnd"/>
      <w:r w:rsidRPr="0027456A">
        <w:rPr>
          <w:iCs/>
        </w:rPr>
        <w:t>; на юридических лиц - пятисот тысяч рублей.</w:t>
      </w:r>
    </w:p>
    <w:p w:rsidR="001C4447" w:rsidRDefault="001C4447" w:rsidP="001C4447">
      <w:pPr>
        <w:pStyle w:val="Default"/>
        <w:ind w:firstLine="567"/>
        <w:jc w:val="both"/>
        <w:rPr>
          <w:color w:val="auto"/>
        </w:rPr>
      </w:pPr>
      <w:r w:rsidRPr="0027456A">
        <w:rPr>
          <w:color w:val="auto"/>
        </w:rPr>
        <w:t>Основными причинами выявленных нарушений, по мнению Контрольно-счетной</w:t>
      </w:r>
      <w:r w:rsidRPr="00EB5424">
        <w:rPr>
          <w:color w:val="auto"/>
        </w:rPr>
        <w:t xml:space="preserve"> палаты, являются низкий уровень исполнительской дисциплины, несоблюдение требований законодательства в сфере закупок</w:t>
      </w:r>
      <w:r>
        <w:rPr>
          <w:color w:val="auto"/>
        </w:rPr>
        <w:t>.</w:t>
      </w:r>
    </w:p>
    <w:p w:rsidR="0047680D" w:rsidRDefault="0047680D" w:rsidP="001C4447">
      <w:pPr>
        <w:pStyle w:val="a4"/>
        <w:spacing w:after="0"/>
        <w:ind w:firstLine="567"/>
        <w:contextualSpacing/>
        <w:jc w:val="both"/>
        <w:rPr>
          <w:b/>
        </w:rPr>
      </w:pPr>
    </w:p>
    <w:sectPr w:rsidR="0047680D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0649"/>
    <w:rsid w:val="0001699D"/>
    <w:rsid w:val="00020764"/>
    <w:rsid w:val="00024DB1"/>
    <w:rsid w:val="00030920"/>
    <w:rsid w:val="00094987"/>
    <w:rsid w:val="000A12FA"/>
    <w:rsid w:val="000A52B5"/>
    <w:rsid w:val="000B5005"/>
    <w:rsid w:val="000B7A26"/>
    <w:rsid w:val="00167A95"/>
    <w:rsid w:val="001913CE"/>
    <w:rsid w:val="001B2535"/>
    <w:rsid w:val="001C4447"/>
    <w:rsid w:val="001C7D83"/>
    <w:rsid w:val="001D5AB8"/>
    <w:rsid w:val="001E5B3A"/>
    <w:rsid w:val="00200D8B"/>
    <w:rsid w:val="00225DD9"/>
    <w:rsid w:val="00263506"/>
    <w:rsid w:val="00263920"/>
    <w:rsid w:val="00266EB9"/>
    <w:rsid w:val="0029495B"/>
    <w:rsid w:val="002C7757"/>
    <w:rsid w:val="002E6733"/>
    <w:rsid w:val="002F1AC4"/>
    <w:rsid w:val="00311E1D"/>
    <w:rsid w:val="00324E64"/>
    <w:rsid w:val="0035174F"/>
    <w:rsid w:val="00373108"/>
    <w:rsid w:val="00382DE4"/>
    <w:rsid w:val="00387591"/>
    <w:rsid w:val="003878BA"/>
    <w:rsid w:val="003A1BEB"/>
    <w:rsid w:val="003A670E"/>
    <w:rsid w:val="003A7406"/>
    <w:rsid w:val="003C63F0"/>
    <w:rsid w:val="003E180D"/>
    <w:rsid w:val="00401578"/>
    <w:rsid w:val="004453C1"/>
    <w:rsid w:val="0045602F"/>
    <w:rsid w:val="0047680D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A2C3D"/>
    <w:rsid w:val="005A4EAB"/>
    <w:rsid w:val="005C2E20"/>
    <w:rsid w:val="005E06B1"/>
    <w:rsid w:val="005F0880"/>
    <w:rsid w:val="00630730"/>
    <w:rsid w:val="0064739F"/>
    <w:rsid w:val="00653E5E"/>
    <w:rsid w:val="00654388"/>
    <w:rsid w:val="00656A72"/>
    <w:rsid w:val="00660299"/>
    <w:rsid w:val="006622E5"/>
    <w:rsid w:val="00667A42"/>
    <w:rsid w:val="006757FA"/>
    <w:rsid w:val="0068012A"/>
    <w:rsid w:val="006B405F"/>
    <w:rsid w:val="006D436C"/>
    <w:rsid w:val="006F1DCE"/>
    <w:rsid w:val="00702006"/>
    <w:rsid w:val="00704CBF"/>
    <w:rsid w:val="007647B2"/>
    <w:rsid w:val="0077275C"/>
    <w:rsid w:val="00772E24"/>
    <w:rsid w:val="00786AB0"/>
    <w:rsid w:val="007907C1"/>
    <w:rsid w:val="007B13B9"/>
    <w:rsid w:val="007B3018"/>
    <w:rsid w:val="007D0B34"/>
    <w:rsid w:val="007D62F2"/>
    <w:rsid w:val="007E3E97"/>
    <w:rsid w:val="007E72BD"/>
    <w:rsid w:val="007F58D4"/>
    <w:rsid w:val="00805C97"/>
    <w:rsid w:val="00812979"/>
    <w:rsid w:val="00824AE5"/>
    <w:rsid w:val="008559C9"/>
    <w:rsid w:val="00861652"/>
    <w:rsid w:val="00873467"/>
    <w:rsid w:val="00885CA6"/>
    <w:rsid w:val="008D39A9"/>
    <w:rsid w:val="008E0B2E"/>
    <w:rsid w:val="008F1ACD"/>
    <w:rsid w:val="00901B3C"/>
    <w:rsid w:val="009052CA"/>
    <w:rsid w:val="00927BF4"/>
    <w:rsid w:val="00940649"/>
    <w:rsid w:val="00954409"/>
    <w:rsid w:val="0095558A"/>
    <w:rsid w:val="009D20EE"/>
    <w:rsid w:val="009E32E7"/>
    <w:rsid w:val="009F14FA"/>
    <w:rsid w:val="009F568C"/>
    <w:rsid w:val="009F6F6F"/>
    <w:rsid w:val="00A21722"/>
    <w:rsid w:val="00A450F4"/>
    <w:rsid w:val="00A508A4"/>
    <w:rsid w:val="00A575D1"/>
    <w:rsid w:val="00A84144"/>
    <w:rsid w:val="00B04BFF"/>
    <w:rsid w:val="00B314EE"/>
    <w:rsid w:val="00B37621"/>
    <w:rsid w:val="00B435EF"/>
    <w:rsid w:val="00B51F33"/>
    <w:rsid w:val="00B93CD6"/>
    <w:rsid w:val="00B95AF5"/>
    <w:rsid w:val="00BB5FD0"/>
    <w:rsid w:val="00BC2454"/>
    <w:rsid w:val="00BD591B"/>
    <w:rsid w:val="00BF5B9D"/>
    <w:rsid w:val="00C064A4"/>
    <w:rsid w:val="00C177DF"/>
    <w:rsid w:val="00C36388"/>
    <w:rsid w:val="00C548C1"/>
    <w:rsid w:val="00C575D2"/>
    <w:rsid w:val="00C7390A"/>
    <w:rsid w:val="00C85FC3"/>
    <w:rsid w:val="00CA374C"/>
    <w:rsid w:val="00CD4D44"/>
    <w:rsid w:val="00CD7BD1"/>
    <w:rsid w:val="00CE14F3"/>
    <w:rsid w:val="00CF6F98"/>
    <w:rsid w:val="00D1041D"/>
    <w:rsid w:val="00D1140C"/>
    <w:rsid w:val="00D17C02"/>
    <w:rsid w:val="00D223A6"/>
    <w:rsid w:val="00D6028D"/>
    <w:rsid w:val="00D62988"/>
    <w:rsid w:val="00D738E8"/>
    <w:rsid w:val="00D779D4"/>
    <w:rsid w:val="00D87B05"/>
    <w:rsid w:val="00DC1C77"/>
    <w:rsid w:val="00DD0814"/>
    <w:rsid w:val="00DD2A3D"/>
    <w:rsid w:val="00DE4983"/>
    <w:rsid w:val="00E0605B"/>
    <w:rsid w:val="00E12EBC"/>
    <w:rsid w:val="00E40275"/>
    <w:rsid w:val="00E5463E"/>
    <w:rsid w:val="00E61A85"/>
    <w:rsid w:val="00E81A54"/>
    <w:rsid w:val="00EA570B"/>
    <w:rsid w:val="00EC3FBE"/>
    <w:rsid w:val="00ED3978"/>
    <w:rsid w:val="00EE7BCD"/>
    <w:rsid w:val="00F022AC"/>
    <w:rsid w:val="00F11489"/>
    <w:rsid w:val="00F22593"/>
    <w:rsid w:val="00F27552"/>
    <w:rsid w:val="00F325C4"/>
    <w:rsid w:val="00F4551B"/>
    <w:rsid w:val="00F57BB6"/>
    <w:rsid w:val="00F86921"/>
    <w:rsid w:val="00F962E8"/>
    <w:rsid w:val="00FA65B5"/>
    <w:rsid w:val="00FC1925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49"/>
    <w:pPr>
      <w:widowControl/>
      <w:suppressAutoHyphens w:val="0"/>
      <w:ind w:left="720"/>
      <w:contextualSpacing/>
    </w:pPr>
    <w:rPr>
      <w:rFonts w:eastAsia="Times New Roman"/>
    </w:rPr>
  </w:style>
  <w:style w:type="paragraph" w:styleId="a4">
    <w:name w:val="Body Text"/>
    <w:aliases w:val="Основной текст 2a"/>
    <w:basedOn w:val="a"/>
    <w:link w:val="a5"/>
    <w:rsid w:val="00940649"/>
    <w:pPr>
      <w:widowControl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aliases w:val="Основной текст 2a Знак"/>
    <w:basedOn w:val="a0"/>
    <w:link w:val="a4"/>
    <w:rsid w:val="009406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8D39A9"/>
    <w:rPr>
      <w:b/>
      <w:bCs/>
    </w:rPr>
  </w:style>
  <w:style w:type="paragraph" w:customStyle="1" w:styleId="Default">
    <w:name w:val="Default"/>
    <w:rsid w:val="00B04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E5E"/>
    <w:pPr>
      <w:widowControl/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53E5E"/>
    <w:rPr>
      <w:rFonts w:ascii="Tahoma" w:eastAsia="Calibri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653E5E"/>
  </w:style>
  <w:style w:type="paragraph" w:customStyle="1" w:styleId="1">
    <w:name w:val="Без интервала1"/>
    <w:rsid w:val="001C44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21</cp:revision>
  <dcterms:created xsi:type="dcterms:W3CDTF">2019-01-16T05:48:00Z</dcterms:created>
  <dcterms:modified xsi:type="dcterms:W3CDTF">2020-06-25T02:51:00Z</dcterms:modified>
</cp:coreProperties>
</file>