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4" w:rsidRPr="007C163A" w:rsidRDefault="00725284" w:rsidP="0072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E14FC" w:rsidRPr="007C163A" w:rsidRDefault="00725284" w:rsidP="0072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о результатах проведенного Контрольно-счетной палатой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анализа отчета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1 квартал 2022 г.</w:t>
      </w:r>
    </w:p>
    <w:p w:rsidR="001E14FC" w:rsidRPr="007C163A" w:rsidRDefault="001E14FC" w:rsidP="001E14FC">
      <w:pPr>
        <w:rPr>
          <w:rFonts w:ascii="Times New Roman" w:hAnsi="Times New Roman" w:cs="Times New Roman"/>
          <w:sz w:val="24"/>
          <w:szCs w:val="24"/>
        </w:rPr>
      </w:pPr>
    </w:p>
    <w:p w:rsidR="001E14FC" w:rsidRPr="007C163A" w:rsidRDefault="001E14FC" w:rsidP="001E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C163A">
        <w:rPr>
          <w:rFonts w:ascii="Times New Roman" w:hAnsi="Times New Roman" w:cs="Times New Roman"/>
          <w:sz w:val="24"/>
          <w:szCs w:val="24"/>
        </w:rPr>
        <w:t xml:space="preserve">В соответствии с пунктом 3 раздела 2 «Экспертная и информационно-аналитическая работа»  плана работы Контрольно-счетной палаты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2022 год, утвержденного распоряжением председателя Контрольно-счетной палаты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27 декабря 2021 года № 04, в период с  16 мая по 27 мая 2022 года проведен анализ отчета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1 квартал</w:t>
      </w:r>
      <w:proofErr w:type="gramEnd"/>
      <w:r w:rsidRPr="007C163A">
        <w:rPr>
          <w:rFonts w:ascii="Times New Roman" w:hAnsi="Times New Roman" w:cs="Times New Roman"/>
          <w:sz w:val="24"/>
          <w:szCs w:val="24"/>
        </w:rPr>
        <w:t xml:space="preserve"> 2022 г</w:t>
      </w:r>
      <w:proofErr w:type="gramStart"/>
      <w:r w:rsidRPr="007C163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14FC" w:rsidRPr="007C163A" w:rsidRDefault="001E14FC" w:rsidP="001E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Объектом мероприятия являлось Управление по финансам и налогам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5912DB" w:rsidRPr="007C163A" w:rsidRDefault="005912DB" w:rsidP="009C118C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163A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за </w:t>
      </w:r>
      <w:r w:rsidRPr="007C163A">
        <w:rPr>
          <w:rFonts w:ascii="Times New Roman" w:hAnsi="Times New Roman" w:cs="Times New Roman"/>
          <w:bCs/>
          <w:sz w:val="24"/>
          <w:szCs w:val="24"/>
        </w:rPr>
        <w:t xml:space="preserve">первый квартал 2022 </w:t>
      </w:r>
      <w:r w:rsidRPr="007C163A">
        <w:rPr>
          <w:rFonts w:ascii="Times New Roman" w:hAnsi="Times New Roman" w:cs="Times New Roman"/>
          <w:sz w:val="24"/>
          <w:szCs w:val="24"/>
        </w:rPr>
        <w:t xml:space="preserve">года составлен Управлением по финансам и налогам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 городского муниципального образования и  утвержден постановлением администрации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25.04.2022 г. № 410, согласно требованиям п. 5 ст. 264.2 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Кодекса Российской Федерации (далее – БК РФ) представлен в КСП ЗГМО 27.04.2022 г. </w:t>
      </w:r>
      <w:proofErr w:type="spellStart"/>
      <w:r w:rsidRPr="007C163A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7C163A">
        <w:rPr>
          <w:rFonts w:ascii="Times New Roman" w:hAnsi="Times New Roman" w:cs="Times New Roman"/>
          <w:color w:val="000000"/>
          <w:sz w:val="24"/>
          <w:szCs w:val="24"/>
        </w:rPr>
        <w:t>. № 02 (исх. № 322 от 27.04.2022</w:t>
      </w:r>
      <w:proofErr w:type="gramEnd"/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163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C163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1E14FC" w:rsidRPr="007C163A" w:rsidRDefault="001E14FC" w:rsidP="007C1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 xml:space="preserve">                По результатам экспертно-аналитического мероприятия установлено следующее:</w:t>
      </w:r>
    </w:p>
    <w:p w:rsidR="009C5EB2" w:rsidRPr="007C163A" w:rsidRDefault="009C5EB2" w:rsidP="009B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A">
        <w:rPr>
          <w:rFonts w:ascii="Times New Roman" w:hAnsi="Times New Roman" w:cs="Times New Roman"/>
          <w:sz w:val="24"/>
          <w:szCs w:val="24"/>
        </w:rPr>
        <w:t>Фактическое исполнение местного бюджета за 1 квартал  2022 года составило: по  доходам в размере 405403,7 тыс. рублей   (20 %  уточненного  плана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сводной бюджетной росписи</w:t>
      </w:r>
      <w:r w:rsidRPr="007C163A">
        <w:rPr>
          <w:rFonts w:ascii="Times New Roman" w:hAnsi="Times New Roman" w:cs="Times New Roman"/>
          <w:sz w:val="24"/>
          <w:szCs w:val="24"/>
        </w:rPr>
        <w:t xml:space="preserve">), в т.ч. за счет </w:t>
      </w:r>
      <w:r w:rsidR="003B6E61" w:rsidRPr="007C163A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– 58126,8 тыс</w:t>
      </w:r>
      <w:proofErr w:type="gramStart"/>
      <w:r w:rsidR="003B6E61" w:rsidRPr="007C16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6E61" w:rsidRPr="007C163A">
        <w:rPr>
          <w:rFonts w:ascii="Times New Roman" w:hAnsi="Times New Roman" w:cs="Times New Roman"/>
          <w:sz w:val="24"/>
          <w:szCs w:val="24"/>
        </w:rPr>
        <w:t>ублей., безвозмездных поступлений – 347276,9 тыс.рублей</w:t>
      </w:r>
      <w:r w:rsidRPr="007C163A">
        <w:rPr>
          <w:rFonts w:ascii="Times New Roman" w:hAnsi="Times New Roman" w:cs="Times New Roman"/>
          <w:sz w:val="24"/>
          <w:szCs w:val="24"/>
        </w:rPr>
        <w:t>;  по расходам – 366140,3  тыс. рублей (18 %  уточненного плана</w:t>
      </w:r>
      <w:r w:rsidRPr="007C163A">
        <w:rPr>
          <w:rFonts w:ascii="Times New Roman" w:hAnsi="Times New Roman" w:cs="Times New Roman"/>
          <w:color w:val="000000"/>
          <w:sz w:val="24"/>
          <w:szCs w:val="24"/>
        </w:rPr>
        <w:t xml:space="preserve"> сводной бюджетной росписи</w:t>
      </w:r>
      <w:r w:rsidRPr="007C163A">
        <w:rPr>
          <w:rFonts w:ascii="Times New Roman" w:hAnsi="Times New Roman" w:cs="Times New Roman"/>
          <w:sz w:val="24"/>
          <w:szCs w:val="24"/>
        </w:rPr>
        <w:t xml:space="preserve">). Бюджет  муниципального образования за 1 квартал 2022 года исполнен с </w:t>
      </w:r>
      <w:proofErr w:type="spellStart"/>
      <w:r w:rsidRPr="007C163A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7C163A">
        <w:rPr>
          <w:rFonts w:ascii="Times New Roman" w:hAnsi="Times New Roman" w:cs="Times New Roman"/>
          <w:sz w:val="24"/>
          <w:szCs w:val="24"/>
        </w:rPr>
        <w:t xml:space="preserve"> в сумме  39263,4  тыс. рублей.</w:t>
      </w:r>
    </w:p>
    <w:p w:rsidR="007C163A" w:rsidRPr="003329B2" w:rsidRDefault="009B601F" w:rsidP="007C163A">
      <w:pPr>
        <w:pStyle w:val="2"/>
        <w:suppressAutoHyphens/>
        <w:spacing w:after="0" w:line="240" w:lineRule="auto"/>
        <w:ind w:left="0" w:firstLine="567"/>
      </w:pPr>
      <w:r>
        <w:t xml:space="preserve"> </w:t>
      </w:r>
      <w:r w:rsidR="007C163A" w:rsidRPr="003329B2">
        <w:t>В сравнении с аналогичным периодом 2021 г. поступление  налоговых и неналоговых доходов в абсолютном значении увеличилось на 7342,3 тыс</w:t>
      </w:r>
      <w:proofErr w:type="gramStart"/>
      <w:r w:rsidR="007C163A" w:rsidRPr="003329B2">
        <w:t>.р</w:t>
      </w:r>
      <w:proofErr w:type="gramEnd"/>
      <w:r w:rsidR="007C163A" w:rsidRPr="003329B2">
        <w:t>ублей.</w:t>
      </w:r>
    </w:p>
    <w:p w:rsidR="007C163A" w:rsidRPr="003329B2" w:rsidRDefault="009B601F" w:rsidP="007C163A">
      <w:pPr>
        <w:pStyle w:val="2"/>
        <w:suppressAutoHyphens/>
        <w:spacing w:after="0" w:line="240" w:lineRule="auto"/>
        <w:ind w:left="0" w:firstLine="567"/>
      </w:pPr>
      <w:r>
        <w:t xml:space="preserve"> </w:t>
      </w:r>
      <w:r w:rsidR="007C163A" w:rsidRPr="003329B2">
        <w:t>Исполнение бюджета за 1 квартал 2022 года по налоговым и неналоговым доходам  составило 26 %  процентов годовых назначений.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В структуре налоговых и неналоговых доходов за 1 квартал 2022 года основную долю составляют следующие доходы: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налог на доходы физических лиц – 59,8 %;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налог на совокупный доход – 10,5 %;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доходы от оказания платных услуг – 9,3 %.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В структуре налоговых и неналоговых доходов за 1 квартал 2022 года в сравнении с аналогичным периодом 2021 года произошли изменения: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снизились поступления: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 от налога на совокупный доход в сумме 1720,8 тыс</w:t>
      </w:r>
      <w:proofErr w:type="gramStart"/>
      <w:r w:rsidRPr="003329B2">
        <w:t>.р</w:t>
      </w:r>
      <w:proofErr w:type="gramEnd"/>
      <w:r w:rsidRPr="003329B2">
        <w:t xml:space="preserve">ублей или на 28,2 %; 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 от доходов от продажи материальных и нематериальных активов на сумму 462,1 тыс</w:t>
      </w:r>
      <w:proofErr w:type="gramStart"/>
      <w:r w:rsidRPr="003329B2">
        <w:t>.р</w:t>
      </w:r>
      <w:proofErr w:type="gramEnd"/>
      <w:r w:rsidRPr="003329B2">
        <w:t>ублей или на 133,1 %;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 от доходов от штрафов, санкций, возмещения ущерба в сумме 8,3 тыс</w:t>
      </w:r>
      <w:proofErr w:type="gramStart"/>
      <w:r w:rsidRPr="003329B2">
        <w:t>.р</w:t>
      </w:r>
      <w:proofErr w:type="gramEnd"/>
      <w:r w:rsidRPr="003329B2">
        <w:t>уб. или на 3,2 %.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- увеличились поступления: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налога на доходы физических лиц на 1993,0 тыс</w:t>
      </w:r>
      <w:proofErr w:type="gramStart"/>
      <w:r w:rsidRPr="003329B2">
        <w:t>.р</w:t>
      </w:r>
      <w:proofErr w:type="gramEnd"/>
      <w:r w:rsidRPr="003329B2">
        <w:t>ублей или на 6,1 %;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от </w:t>
      </w:r>
      <w:r>
        <w:t>н</w:t>
      </w:r>
      <w:r>
        <w:rPr>
          <w:sz w:val="22"/>
          <w:szCs w:val="22"/>
        </w:rPr>
        <w:t xml:space="preserve">алога на товары </w:t>
      </w:r>
      <w:r w:rsidRPr="003E08E8">
        <w:rPr>
          <w:sz w:val="22"/>
          <w:szCs w:val="22"/>
        </w:rPr>
        <w:t xml:space="preserve"> (</w:t>
      </w:r>
      <w:r>
        <w:rPr>
          <w:sz w:val="22"/>
          <w:szCs w:val="22"/>
        </w:rPr>
        <w:t>работы, услуги</w:t>
      </w:r>
      <w:r w:rsidRPr="003E08E8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реализуемые </w:t>
      </w:r>
      <w:r w:rsidRPr="003E08E8">
        <w:rPr>
          <w:sz w:val="22"/>
          <w:szCs w:val="22"/>
        </w:rPr>
        <w:t xml:space="preserve"> на территории Российской Федерации</w:t>
      </w:r>
      <w:r w:rsidRPr="003329B2">
        <w:t xml:space="preserve"> сумме 566,2 тыс</w:t>
      </w:r>
      <w:proofErr w:type="gramStart"/>
      <w:r w:rsidRPr="003329B2">
        <w:t>.р</w:t>
      </w:r>
      <w:proofErr w:type="gramEnd"/>
      <w:r w:rsidRPr="003329B2">
        <w:t>ублей или 19,3 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lastRenderedPageBreak/>
        <w:t>от налога на имущество в сумме 493,8 тыс</w:t>
      </w:r>
      <w:proofErr w:type="gramStart"/>
      <w:r w:rsidRPr="003329B2">
        <w:t>.р</w:t>
      </w:r>
      <w:proofErr w:type="gramEnd"/>
      <w:r w:rsidRPr="003329B2">
        <w:t>ублей или на 20,9 %;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 xml:space="preserve">     в т.ч. налога на имущество физических лиц  в сумме 319,1 тыс</w:t>
      </w:r>
      <w:proofErr w:type="gramStart"/>
      <w:r w:rsidRPr="003329B2">
        <w:t>.р</w:t>
      </w:r>
      <w:proofErr w:type="gramEnd"/>
      <w:r w:rsidRPr="003329B2">
        <w:t>ублей или на 100,6%;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земельного налога на сумму 174,7 тыс</w:t>
      </w:r>
      <w:proofErr w:type="gramStart"/>
      <w:r w:rsidRPr="003329B2">
        <w:t>.р</w:t>
      </w:r>
      <w:proofErr w:type="gramEnd"/>
      <w:r w:rsidRPr="003329B2">
        <w:t>ублей или 8,6%;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полученной госпошлины в сумме 256 тыс</w:t>
      </w:r>
      <w:proofErr w:type="gramStart"/>
      <w:r w:rsidRPr="003329B2">
        <w:t>.р</w:t>
      </w:r>
      <w:proofErr w:type="gramEnd"/>
      <w:r w:rsidRPr="003329B2">
        <w:t>ублей или на 17,3 %;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доходов от использования имущества, находящегося в государственной и муниципальной собственности в сумме 134,2 тыс</w:t>
      </w:r>
      <w:proofErr w:type="gramStart"/>
      <w:r w:rsidRPr="003329B2">
        <w:t>.р</w:t>
      </w:r>
      <w:proofErr w:type="gramEnd"/>
      <w:r w:rsidRPr="003329B2">
        <w:t>ублей или на 5,7 %;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платежей за пользование природными ресурсами в сумме 542,8 тыс</w:t>
      </w:r>
      <w:proofErr w:type="gramStart"/>
      <w:r w:rsidRPr="003329B2">
        <w:t>.р</w:t>
      </w:r>
      <w:proofErr w:type="gramEnd"/>
      <w:r w:rsidRPr="003329B2">
        <w:t>уб</w:t>
      </w:r>
      <w:r>
        <w:t>лей</w:t>
      </w:r>
      <w:r w:rsidRPr="003329B2">
        <w:t>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доходов  от оказания платных услуг в сумме 5285,3 тыс</w:t>
      </w:r>
      <w:proofErr w:type="gramStart"/>
      <w:r w:rsidRPr="003329B2">
        <w:t>.р</w:t>
      </w:r>
      <w:proofErr w:type="gramEnd"/>
      <w:r w:rsidRPr="003329B2">
        <w:t>ублей;</w:t>
      </w:r>
    </w:p>
    <w:p w:rsidR="007C163A" w:rsidRPr="003329B2" w:rsidRDefault="007C163A" w:rsidP="007C163A">
      <w:pPr>
        <w:pStyle w:val="2"/>
        <w:suppressAutoHyphens/>
        <w:spacing w:after="0" w:line="240" w:lineRule="auto"/>
        <w:ind w:left="0" w:firstLine="567"/>
      </w:pPr>
      <w:r w:rsidRPr="003329B2">
        <w:t>от прочих неналоговых доходов в сумме 259,6 тыс</w:t>
      </w:r>
      <w:proofErr w:type="gramStart"/>
      <w:r w:rsidRPr="003329B2">
        <w:t>.р</w:t>
      </w:r>
      <w:proofErr w:type="gramEnd"/>
      <w:r w:rsidRPr="003329B2">
        <w:t>ублей.</w:t>
      </w:r>
    </w:p>
    <w:p w:rsidR="003B6E61" w:rsidRDefault="00C10646" w:rsidP="00C1064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10646">
        <w:rPr>
          <w:rFonts w:ascii="Times New Roman" w:hAnsi="Times New Roman" w:cs="Times New Roman"/>
          <w:sz w:val="24"/>
          <w:szCs w:val="24"/>
        </w:rPr>
        <w:t xml:space="preserve">По состоянию на 1 апреля 2022 года недоимка по налоговым платежам, подлежащим зачислению в бюджет </w:t>
      </w:r>
      <w:proofErr w:type="spellStart"/>
      <w:r w:rsidRPr="00C1064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1064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снизилась на 1089,0 тыс. рублей (7,5%) относительно данных на начало года и составила 13349 тыс. рублей</w:t>
      </w:r>
      <w:r w:rsidRPr="003329B2">
        <w:t>.</w:t>
      </w:r>
    </w:p>
    <w:p w:rsidR="009C5EB2" w:rsidRDefault="00C10646" w:rsidP="00327608">
      <w:pPr>
        <w:spacing w:after="0" w:line="240" w:lineRule="auto"/>
        <w:jc w:val="both"/>
      </w:pPr>
      <w:r>
        <w:t xml:space="preserve">          </w:t>
      </w:r>
      <w:r w:rsidR="009B601F">
        <w:t xml:space="preserve">     </w:t>
      </w:r>
      <w:r>
        <w:t xml:space="preserve"> </w:t>
      </w:r>
      <w:r w:rsidRPr="00C10646">
        <w:rPr>
          <w:rFonts w:ascii="Times New Roman" w:hAnsi="Times New Roman" w:cs="Times New Roman"/>
          <w:sz w:val="24"/>
          <w:szCs w:val="24"/>
        </w:rPr>
        <w:t>По сравнению с аналогичным периодом 2021 года, общий объем безвозмездных поступлений увеличился на 27,2%, или на 74359,4 тыс. рублей</w:t>
      </w:r>
      <w:r w:rsidRPr="003329B2">
        <w:t>.</w:t>
      </w:r>
    </w:p>
    <w:p w:rsidR="00327608" w:rsidRPr="00327608" w:rsidRDefault="009B601F" w:rsidP="00D94710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</w:t>
      </w:r>
      <w:r w:rsidR="00C10646">
        <w:t xml:space="preserve"> </w:t>
      </w:r>
      <w:r w:rsidR="00C10646" w:rsidRPr="00C10646">
        <w:rPr>
          <w:rFonts w:ascii="Times New Roman" w:hAnsi="Times New Roman" w:cs="Times New Roman"/>
          <w:color w:val="000000"/>
          <w:sz w:val="24"/>
          <w:szCs w:val="24"/>
        </w:rPr>
        <w:t>Организация исполнения местного бюджета за 1 квартал 2022 года осуществлялась на основе Сводной бюджетной росписи местного бюджета на 2022 год и плановый период 2023 и 2024 годов с изменениями, внесенными по состоянию на 31.03.2022 года</w:t>
      </w:r>
      <w:r w:rsidR="00C106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>Расходы исполнены в сумме 366140,3  тыс. рублей, что на 92365,5 тыс. рублей, или на 33,7 %  больше аналогичного периода 2021 г</w:t>
      </w:r>
      <w:r w:rsidR="00D94710">
        <w:rPr>
          <w:rFonts w:ascii="Times New Roman" w:hAnsi="Times New Roman" w:cs="Times New Roman"/>
          <w:color w:val="000000"/>
          <w:sz w:val="24"/>
          <w:szCs w:val="24"/>
        </w:rPr>
        <w:t xml:space="preserve">ода и составили </w:t>
      </w:r>
      <w:r w:rsidR="00327608" w:rsidRPr="00327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10" w:rsidRPr="00D94710">
        <w:rPr>
          <w:rFonts w:ascii="Times New Roman" w:hAnsi="Times New Roman" w:cs="Times New Roman"/>
          <w:sz w:val="24"/>
          <w:szCs w:val="24"/>
        </w:rPr>
        <w:t xml:space="preserve">18 % годовых назначений. </w:t>
      </w:r>
    </w:p>
    <w:p w:rsidR="00D94710" w:rsidRPr="00D94710" w:rsidRDefault="009B601F" w:rsidP="00D9471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4710" w:rsidRPr="00D9471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расходов местного бюджета, сложившаяся по итогам 1 квартала 2022 года, подтверждает социальную направленность местного бюджета -  74,7 % бюджетных расходов за отчетный период направлено на финансирование социальной сферы по разделам 07 «Образование» (61,4 %), 08 «Культура, кинематография» (4,7 %), 10 «Социальная политика» (5%), 11 «Физическая культура и спорт» (3,5 %). </w:t>
      </w:r>
    </w:p>
    <w:p w:rsidR="00C10646" w:rsidRPr="00C10646" w:rsidRDefault="009B601F" w:rsidP="009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экспертно-аналитического мероприятия направлены мэру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sectPr w:rsidR="00C10646" w:rsidRPr="00C10646" w:rsidSect="005912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284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14FC"/>
    <w:rsid w:val="001E5B3A"/>
    <w:rsid w:val="00200D8B"/>
    <w:rsid w:val="002054EF"/>
    <w:rsid w:val="00205B01"/>
    <w:rsid w:val="00206847"/>
    <w:rsid w:val="00225DD9"/>
    <w:rsid w:val="00243DA8"/>
    <w:rsid w:val="00254838"/>
    <w:rsid w:val="00260896"/>
    <w:rsid w:val="00263920"/>
    <w:rsid w:val="00266EB9"/>
    <w:rsid w:val="002717B1"/>
    <w:rsid w:val="00281AD2"/>
    <w:rsid w:val="0029495B"/>
    <w:rsid w:val="002A10D6"/>
    <w:rsid w:val="002C7757"/>
    <w:rsid w:val="002E3074"/>
    <w:rsid w:val="002E6733"/>
    <w:rsid w:val="002F1AC4"/>
    <w:rsid w:val="002F688D"/>
    <w:rsid w:val="002F691C"/>
    <w:rsid w:val="00311E1D"/>
    <w:rsid w:val="00313438"/>
    <w:rsid w:val="00324E64"/>
    <w:rsid w:val="00327608"/>
    <w:rsid w:val="0035174F"/>
    <w:rsid w:val="003748E0"/>
    <w:rsid w:val="00382DE4"/>
    <w:rsid w:val="00387591"/>
    <w:rsid w:val="00391EC1"/>
    <w:rsid w:val="003A1BEB"/>
    <w:rsid w:val="003A670E"/>
    <w:rsid w:val="003A69DF"/>
    <w:rsid w:val="003B6E61"/>
    <w:rsid w:val="003C112E"/>
    <w:rsid w:val="003D1538"/>
    <w:rsid w:val="003D33BF"/>
    <w:rsid w:val="003D37DD"/>
    <w:rsid w:val="003E0C8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75CA"/>
    <w:rsid w:val="00540E41"/>
    <w:rsid w:val="00582D33"/>
    <w:rsid w:val="005912DB"/>
    <w:rsid w:val="00593C6E"/>
    <w:rsid w:val="005A2C3D"/>
    <w:rsid w:val="005A4EAB"/>
    <w:rsid w:val="005B12D7"/>
    <w:rsid w:val="005B6FA2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25284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C163A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B601F"/>
    <w:rsid w:val="009C118C"/>
    <w:rsid w:val="009C5EB2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0646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94710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tl">
    <w:name w:val="pagettl"/>
    <w:basedOn w:val="a"/>
    <w:rsid w:val="005912DB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2">
    <w:name w:val="Body Text Indent 2"/>
    <w:basedOn w:val="a"/>
    <w:link w:val="20"/>
    <w:rsid w:val="007C163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1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dcterms:created xsi:type="dcterms:W3CDTF">2022-07-07T01:28:00Z</dcterms:created>
  <dcterms:modified xsi:type="dcterms:W3CDTF">2022-07-07T02:36:00Z</dcterms:modified>
</cp:coreProperties>
</file>